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" text:style-name="Internet_20_link" text:visited-style-name="Visited_20_Internet_20_Link">
              <text:span text:style-name="ListLabel_20_28">
                <text:span text:style-name="T8">1 Zorgen over gebiedsgerichte aanpak (GGA) Nieuwkoop (CDA, 10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"/>
        Zorgen over gebiedsgerichte aanpak (GGA) Nieuwkoop (CDA, 10 juni 2022)
        <text:bookmark-end text:name="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Zorgen over gebiedsgerichte aanpak (GGA) Nieuwkoop
              <text:span text:style-name="T3"/>
            </text:p>
            <text:p text:style-name="P7"/>
          </table:table-cell>
          <table:table-cell table:style-name="Table4.A2" office:value-type="string">
            <text:p text:style-name="P8">10-06-2022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Zorgen-over-gebiedsgerichte-aanpak-GGA-Nieuwko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D22064963 Beantwoording vragen CDA | Zorgen over gebiedsgerichte aanpak (GGA) Nieuwkoop
              <text:span text:style-name="T3"/>
            </text:p>
            <text:p text:style-name="P7"/>
          </table:table-cell>
          <table:table-cell table:style-name="Table4.A2" office:value-type="string">
            <text:p text:style-name="P8">12-09-2022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300,37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4963-Beantwoording-vragen-CDA-Zorgen-over-gebiedsgerichte-aanpak-GGA-Nieuwko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581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