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" w:history="1">
        <w:r>
          <w:rPr>
            <w:rFonts w:ascii="Arial" w:hAnsi="Arial" w:eastAsia="Arial" w:cs="Arial"/>
            <w:color w:val="155CAA"/>
            <w:u w:val="single"/>
          </w:rPr>
          <w:t xml:space="preserve">1 Zonder verlichting binnenstad donkere dagen in (Inwonersbelangen, 6 november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"/>
      <w:r w:rsidRPr="00A448AC">
        <w:rPr>
          <w:rFonts w:ascii="Arial" w:hAnsi="Arial" w:cs="Arial"/>
          <w:b/>
          <w:bCs/>
          <w:color w:val="303F4C"/>
          <w:lang w:val="en-US"/>
        </w:rPr>
        <w:t>Zonder verlichting binnenstad donkere dagen in (Inwonersbelangen, 6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16-01-2024 16:11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inzake zonder verlichting binnenstad donkere dagen in versie 7 nov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158,76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inzake zonder verlichting binnenstad donkere dagen in - D24132650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170,57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art-42-Inwonersbelangen-inzake-zonder-verlichting-binnenstad-donkere-dagen-in-versie-7-nov-2023.pdf" TargetMode="External" /><Relationship Id="rId25" Type="http://schemas.openxmlformats.org/officeDocument/2006/relationships/hyperlink" Target="http://gemeenteraad.woerden.nl//Stukken/Schriftelijke-vraag/Beantwoording-schriftelijke-vragen-Art-42-Inwonersbelangen-inzake-zonder-verlichting-binnenstad-donkere-dagen-in-D2413265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