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3" w:history="1">
        <w:r>
          <w:rPr>
            <w:rFonts w:ascii="Arial" w:hAnsi="Arial" w:eastAsia="Arial" w:cs="Arial"/>
            <w:color w:val="155CAA"/>
            <w:u w:val="single"/>
          </w:rPr>
          <w:t xml:space="preserve">1 Woningleegstand met een maximum van 6 maanden (LijstvanderDoes, 28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3"/>
      <w:r w:rsidRPr="00A448AC">
        <w:rPr>
          <w:rFonts w:ascii="Arial" w:hAnsi="Arial" w:cs="Arial"/>
          <w:b/>
          <w:bCs/>
          <w:color w:val="303F4C"/>
          <w:lang w:val="en-US"/>
        </w:rPr>
        <w:t>Woningleegstand met een maximum van 6 maanden (LijstvanderDoes, 28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Woningleegstand met een maximum van 6 maanden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D23112013 Beantwoording Schriftelijke vragen LijstvanderDoes inzake Woningleegstand met een maximum van 6 maanden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-vragen-LijstvanderDoes-Woningleegstand-met-een-maximum-van-6-maanden.pdf" TargetMode="External" /><Relationship Id="rId25" Type="http://schemas.openxmlformats.org/officeDocument/2006/relationships/hyperlink" Target="http://gemeenteraad.woerden.nl//stukken/D23112013-Beantwoording-Schriftelijke-vragen-LijstvanderDoes-inzake-Woningleegstand-met-een-maximum-van-6-maan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