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5" w:history="1">
        <w:r>
          <w:rPr>
            <w:rFonts w:ascii="Arial" w:hAnsi="Arial" w:eastAsia="Arial" w:cs="Arial"/>
            <w:color w:val="155CAA"/>
            <w:u w:val="single"/>
          </w:rPr>
          <w:t xml:space="preserve">1 Woningbouw Raadhuislaan Harmelen (Inwonersbelangen en LijstvanderDoes, 5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5"/>
      <w:r w:rsidRPr="00A448AC">
        <w:rPr>
          <w:rFonts w:ascii="Arial" w:hAnsi="Arial" w:cs="Arial"/>
          <w:b/>
          <w:bCs/>
          <w:color w:val="303F4C"/>
          <w:lang w:val="en-US"/>
        </w:rPr>
        <w:t>Woningbouw Raadhuislaan Harmelen (Inwonersbelangen en LijstvanderDoes, 5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LijstvanderDoes Woningbouw Raadhuislaan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Inwonersbelangen en Lijst van der Does inzake Woningbouw Raadshuislaan Harmelen -D23129265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LijstvanderDoes-Woningbouw-Raadhuislaan-Harmelen.pdf" TargetMode="External" /><Relationship Id="rId25" Type="http://schemas.openxmlformats.org/officeDocument/2006/relationships/hyperlink" Target="http://gemeenteraad.woerden.nl//Stukken/Schriftelijke-vraag/Beantwoording-schriftelijke-vragen-Inwonersbelangen-inzake-Woningbouw-Raadhuislaan-project-t-Raadhuy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