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55" text:style-name="Internet_20_link" text:visited-style-name="Visited_20_Internet_20_Link">
              <text:span text:style-name="ListLabel_20_28">
                <text:span text:style-name="T8">1 Woningbouw Raadhuislaan Harmelen (Inwonersbelangen en LijstvanderDoes, 5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55"/>
        Woningbouw Raadhuislaan Harmelen (Inwonersbelangen en LijstvanderDoes, 5 december 2023)
        <text:bookmark-end text:name="4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09-01-2024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Inwonersbelangen LijstvanderDoes Woningbouw Raadhuislaan Harmelen
              <text:span text:style-name="T3"/>
            </text:p>
            <text:p text:style-name="P7"/>
          </table:table-cell>
          <table:table-cell table:style-name="Table4.A2" office:value-type="string">
            <text:p text:style-name="P8">05-12-2023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262,32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Inwonersbelangen-LijstvanderDoes-Woningbouw-Raadhuislaan-Harm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Art. 42 vragen Inwonersbelangen en Lijst van der Does inzake Woningbouw Raadshuislaan Harmelen -D23129265
              <text:span text:style-name="T3"/>
            </text:p>
            <text:p text:style-name="P7"/>
          </table:table-cell>
          <table:table-cell table:style-name="Table4.A2" office:value-type="string">
            <text:p text:style-name="P8">09-01-2024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215,92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Inwonersbelangen-inzake-Woningbouw-Raadhuislaan-project-t-Raadhuy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7" meta:character-count="664" meta:non-whitespace-character-count="6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