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" w:history="1">
        <w:r>
          <w:rPr>
            <w:rFonts w:ascii="Arial" w:hAnsi="Arial" w:eastAsia="Arial" w:cs="Arial"/>
            <w:color w:val="155CAA"/>
            <w:u w:val="single"/>
          </w:rPr>
          <w:t xml:space="preserve">1 Wilhelminaschool (CDA en CU-SGP, 10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"/>
      <w:r w:rsidRPr="00A448AC">
        <w:rPr>
          <w:rFonts w:ascii="Arial" w:hAnsi="Arial" w:cs="Arial"/>
          <w:b/>
          <w:bCs/>
          <w:color w:val="303F4C"/>
          <w:lang w:val="en-US"/>
        </w:rPr>
        <w:t>Wilhelminaschool (CDA en CU-SGP, 10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CDA-CUSGP Wilhelminaschool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D23114091 Beantwoording schriftelijke vragen Verkeerssituatie Wilhelminaschool CDA-CUSGP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CDA-CUSGP-Wilhelminaschool.pdf" TargetMode="External" /><Relationship Id="rId25" Type="http://schemas.openxmlformats.org/officeDocument/2006/relationships/hyperlink" Target="http://gemeenteraad.woerden.nl//stukken/D23114091-Beantwoording-schriftelijke-vragen-Verkeerssituatie-Wilhelminaschool-CDA-CUSG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