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7" text:style-name="Internet_20_link" text:visited-style-name="Visited_20_Internet_20_Link">
              <text:span text:style-name="ListLabel_20_28">
                <text:span text:style-name="T8">1 Wie draait op voor juridische kosten Oudewater? (Inwonersbelangen, 3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7"/>
        Wie draait op voor juridische kosten Oudewater? (Inwonersbelangen, 3 oktober 2022)
        <text:bookmark-end text:name="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Wie draait op voor juridische kosten Oudewater?
              <text:span text:style-name="T3"/>
            </text:p>
            <text:p text:style-name="P7"/>
          </table:table-cell>
          <table:table-cell table:style-name="Table4.A2" office:value-type="string">
            <text:p text:style-name="P8">03-10-2022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208,54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Wie-draait-op-voor-juridische-kosten-Oudewat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D22078230 Beantwoording vragen Inwonersbelangen | Wie draait op voor juridische kosten Oudewater?
              <text:span text:style-name="T3"/>
            </text:p>
            <text:p text:style-name="P7"/>
          </table:table-cell>
          <table:table-cell table:style-name="Table4.A2" office:value-type="string">
            <text:p text:style-name="P8">02-11-2022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419,52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8230-Beantwoording-vragen-Inwonersbelangen-Wie-draait-op-voor-juridische-kosten-Oudewat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25" meta:non-whitespace-character-count="5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1291878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1291878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