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" w:history="1">
        <w:r>
          <w:rPr>
            <w:rFonts w:ascii="Arial" w:hAnsi="Arial" w:eastAsia="Arial" w:cs="Arial"/>
            <w:color w:val="155CAA"/>
            <w:u w:val="single"/>
          </w:rPr>
          <w:t xml:space="preserve">1 Vuurwerkoverlast tegengaan (Progressief Woerden en Splinter, 31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"/>
      <w:r w:rsidRPr="00A448AC">
        <w:rPr>
          <w:rFonts w:ascii="Arial" w:hAnsi="Arial" w:cs="Arial"/>
          <w:b/>
          <w:bCs/>
          <w:color w:val="303F4C"/>
          <w:lang w:val="en-US"/>
        </w:rPr>
        <w:t>Vuurwerkoverlast tegengaan (Progressief Woerden en Splinter, 31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Splinter |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D23089166 Beantwoording artikel 42 vragen RvO van Progressief Woerden en Splinter inzake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en-Splinter-Vuurwerkoverlast-tegengaan.pdf" TargetMode="External" /><Relationship Id="rId25" Type="http://schemas.openxmlformats.org/officeDocument/2006/relationships/hyperlink" Target="http://gemeenteraad.woerden.nl//stukken/Schriftelijke-vraag/D23089166-Beantwoording-artikel-42-vragen-RvO-van-Progressief-Woerden-en-Splinter-inzake-Vuurwerkoverlast-tegeng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