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35" text:style-name="Internet_20_link" text:visited-style-name="Visited_20_Internet_20_Link">
              <text:span text:style-name="ListLabel_20_28">
                <text:span text:style-name="T8">1 Verwerking van de middelen uit het gemeentefonds voor het jaar 2026 en de programmabegroting 2023 – 2026 (Woerden&amp;amp;Democratie, 25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35"/>
        Verwerking van de middelen uit het gemeentefonds voor het jaar 2026 en de programmabegroting 2023 – 2026 (Woerden&amp;amp;Democratie, 25 oktober 2022)
        <text:bookmark-end text:name="1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D22074542 Beantwoording vragen Woerden&amp;amp;Democratie | Verwerking van de middelen uit het gemeentefonds voor het jaar 2026 en de programmabegroting 2023 – 2026
              <text:span text:style-name="T3"/>
            </text:p>
            <text:p text:style-name="P7"/>
          </table:table-cell>
          <table:table-cell table:style-name="Table4.A2" office:value-type="string">
            <text:p text:style-name="P8">25-10-2022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306,26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4542-Beantwoording-vragen-Woerden-Democratie-Verwerking-van-de-middelen-uit-het-gemeentefonds-voor-het-jaar-2026-en-de-programmabegroting-2023-2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0" meta:character-count="698" meta:non-whitespace-character-count="6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1550555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1550555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