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65" text:style-name="Internet_20_link" text:visited-style-name="Visited_20_Internet_20_Link">
              <text:span text:style-name="ListLabel_20_28">
                <text:span text:style-name="T8">1 Toetsingskader windenergie (Inwonersbelangen, 11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5"/>
        Toetsingskader windenergie (Inwonersbelangen, 11 maart 2025)
        <text:bookmark-end text:name="8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11-03-2025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08-04-2025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08-04-2025 13:02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Toetsingskader windenergie
              <text:span text:style-name="T3"/>
            </text:p>
            <text:p text:style-name="P7"/>
          </table:table-cell>
          <table:table-cell table:style-name="Table5.A2" office:value-type="string">
            <text:p text:style-name="P8">11-03-2025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158,63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Toetsingskader-windenerg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RvO van Inwonersbelangen inzake Toetsingskader windenergie D25177976
              <text:span text:style-name="T3"/>
            </text:p>
            <text:p text:style-name="P7"/>
          </table:table-cell>
          <table:table-cell table:style-name="Table5.A2" office:value-type="string">
            <text:p text:style-name="P8">08-04-2025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210,56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RvO-van-Inwonersbelangen-inzake-Toetsingskader-windenergie-D2517797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0" meta:character-count="691" meta:non-whitespace-character-count="6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1466516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1466516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