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9" text:style-name="Internet_20_link" text:visited-style-name="Visited_20_Internet_20_Link">
              <text:span text:style-name="ListLabel_20_28">
                <text:span text:style-name="T8">1 Toepassing van Wet Normering Topinkomens in jaarrekening GR Ferm Werk (Woerden&amp;amp;Democratie, 13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9"/>
        Toepassing van Wet Normering Topinkomens in jaarrekening GR Ferm Werk (Woerden&amp;amp;Democratie, 13 mei 2024)
        <text:bookmark-end text:name="6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13-05-2024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26-06-2024 10:46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Toepassing van Wet Normering Topinkomens in jaarrekening GR Ferm Werk
              <text:span text:style-name="T3"/>
            </text:p>
            <text:p text:style-name="P7"/>
          </table:table-cell>
          <table:table-cell table:style-name="Table5.A2" office:value-type="string">
            <text:p text:style-name="P8">13-05-2024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194,12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Toepassing-van-Wet-Normering-Topinkomens-in-jaarrekening-GR-Ferm-Wer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Woerden&amp;amp;Democratie inzake Toepassing Wet Normering Topinkomen (WNT) D24145570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26-06-2024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177,64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Art-42-RvO-van-Woerden-Democratie-Toepassing-WNT-D2414557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38" meta:word-count="113" meta:character-count="828" meta:non-whitespace-character-count="7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