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8" w:history="1">
        <w:r>
          <w:rPr>
            <w:rFonts w:ascii="Arial" w:hAnsi="Arial" w:eastAsia="Arial" w:cs="Arial"/>
            <w:color w:val="155CAA"/>
            <w:u w:val="single"/>
          </w:rPr>
          <w:t xml:space="preserve">1 Summiere verspreiding van brief over zoeklocaties windturbines en zonne-energie (LijstvanderDoes, 23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8"/>
      <w:r w:rsidRPr="00A448AC">
        <w:rPr>
          <w:rFonts w:ascii="Arial" w:hAnsi="Arial" w:cs="Arial"/>
          <w:b/>
          <w:bCs/>
          <w:color w:val="303F4C"/>
          <w:lang w:val="en-US"/>
        </w:rPr>
        <w:t>Summiere verspreiding van brief over zoeklocaties windturbines en zonne-energie (LijstvanderDoes, 23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Summiere verspreiding brief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D22053415 Beantwoording vragen LijstvanderDoes | Summiere verspreiding van brief over zoeklocaties windturbines en zonne-energie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Summiere-verspreiding-brief-zoeklocaties-windturbines-en-zonne-energie.pdf" TargetMode="External" /><Relationship Id="rId25" Type="http://schemas.openxmlformats.org/officeDocument/2006/relationships/hyperlink" Target="http://gemeenteraad.woerden.nl//stukken/Schriftelijke-vraag/D22053415-Beantwoording-vragen-LijstvanderDoes-Summiere-verspreiding-van-brief-over-zoeklocaties-windturbines-en-zonne-energ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