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24" text:style-name="Internet_20_link" text:visited-style-name="Visited_20_Internet_20_Link">
              <text:span text:style-name="ListLabel_20_28">
                <text:span text:style-name="T8">1 Subsidiemogelijkheden energietransitie (CDA, 7 maart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24"/>
        Subsidiemogelijkheden energietransitie (CDA, 7 maart 2022)
        <text:bookmark-end text:name="12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CDA - Subsidiemogelijkheden energietransitie
              <text:span text:style-name="T3"/>
            </text:p>
            <text:p text:style-name="P7"/>
          </table:table-cell>
          <table:table-cell table:style-name="Table4.A2" office:value-type="string">
            <text:p text:style-name="P8">07-03-2022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101,31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CDA-Subsidiemogelijkheden-energietransiti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D22054783 Beantwoording vragen CDA | Subsidiemogelijkheden energietransitie
              <text:span text:style-name="T3"/>
            </text:p>
            <text:p text:style-name="P7"/>
          </table:table-cell>
          <table:table-cell table:style-name="Table4.A2" office:value-type="string">
            <text:p text:style-name="P8">06-04-2022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279,87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54783-Beantwoording-vragen-CDA-Subsidiemogelijkheden-energietransiti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0" meta:character-count="533" meta:non-whitespace-character-count="4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1774164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1774164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