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23" text:style-name="Internet_20_link" text:visited-style-name="Visited_20_Internet_20_Link">
              <text:span text:style-name="ListLabel_20_28">
                <text:span text:style-name="T8">1 Stand van zaken paraplubestemmingsplan kleine windmolens (CDA, 7 maart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3"/>
        Stand van zaken paraplubestemmingsplan kleine windmolens (CDA, 7 maart 2022)
        <text:bookmark-end text:name="1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- Paraplubestemmingsplan Kleine windmolens
              <text:span text:style-name="T3"/>
            </text:p>
            <text:p text:style-name="P7"/>
          </table:table-cell>
          <table:table-cell table:style-name="Table4.A2" office:value-type="string">
            <text:p text:style-name="P8">07-03-2022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105,66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CDA-Paraplubestemmingsplan-Kleine-windmolen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D22054789 Beantwoording vragen CDA | Stand van zaken paraplubestemmingsplan kleine windmolens
              <text:span text:style-name="T3"/>
            </text:p>
            <text:p text:style-name="P7"/>
          </table:table-cell>
          <table:table-cell table:style-name="Table4.A2" office:value-type="string">
            <text:p text:style-name="P8">20-04-2022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281,87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4789-Beantwoording-vragen-CDA-Stand-van-zaken-paraplubestemmingsplan-kleine-windmolen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3" meta:character-count="589" meta:non-whitespace-character-count="5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386275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386275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