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0" text:style-name="Internet_20_link" text:visited-style-name="Visited_20_Internet_20_Link">
              <text:span text:style-name="ListLabel_20_28">
                <text:span text:style-name="T8">1 Rommel in de binnenstad en onlogisch geplaatste containers (VVD, 23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0"/>
        Rommel in de binnenstad en onlogisch geplaatste containers (VVD, 23 januari 2025)
        <text:bookmark-end text:name="8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VVD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23-01-2025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11-03-2025 09:31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Beantwoording schriftelijke vragen Art. 42 VVD Rommel in de binnenstad en onlogisch geplaatste containers
              <text:span text:style-name="T3"/>
            </text:p>
            <text:p text:style-name="P7"/>
          </table:table-cell>
          <table:table-cell table:style-name="Table5.A2" office:value-type="string">
            <text:p text:style-name="P8">19-02-2025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210,11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VVD-Rommel-in-de-binnenstad-en-onlogisch-geplaatste-contai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Schriftelijke vragen Art. 42 VVD Rommel in de binnenstad en onlogisch geplaatste containers
              <text:span text:style-name="T3"/>
            </text:p>
            <text:p text:style-name="P7"/>
          </table:table-cell>
          <table:table-cell table:style-name="Table5.A2" office:value-type="string">
            <text:p text:style-name="P8">23-01-2025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2,82 MB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VVD-Rommel-in-de-binnenstad-en-onlogisch-geplaatste-container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0" meta:character-count="731" meta:non-whitespace-character-count="6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