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98" text:style-name="Internet_20_link" text:visited-style-name="Visited_20_Internet_20_Link">
              <text:span text:style-name="ListLabel_20_28">
                <text:span text:style-name="T8">1 Publicatie besluit Berkenlaan in Kamerik (Inwonersbelangen, 11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98"/>
        Publicatie besluit Berkenlaan in Kamerik (Inwonersbelangen, 11 april 2024)
        <text:bookmark-end text:name="5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11-04-2024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13:43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Publicatie besluit Berkenlaan in Kamerik
              <text:span text:style-name="T3"/>
            </text:p>
            <text:p text:style-name="P7"/>
          </table:table-cell>
          <table:table-cell table:style-name="Table5.A2" office:value-type="string">
            <text:p text:style-name="P8">11-04-2024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378,42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Publicatie-besluit-Berkenlaan-in-Kameri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743" meta:non-whitespace-character-count="6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