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0" text:style-name="Internet_20_link" text:visited-style-name="Visited_20_Internet_20_Link">
              <text:span text:style-name="ListLabel_20_28">
                <text:span text:style-name="T8">1 Parkeren aan de zuidzijde van het station (vervolg) (Woerden&amp;amp;Democratie, 2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0"/>
        Parkeren aan de zuidzijde van het station (vervolg) (Woerden&amp;amp;Democratie, 2 februari 2023)
        <text:bookmark-end text:name="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Parkeren aan de zuidzijde van het station in Woerden (vervolg)
              <text:span text:style-name="T3"/>
            </text:p>
            <text:p text:style-name="P7"/>
          </table:table-cell>
          <table:table-cell table:style-name="Table4.A2" office:value-type="string">
            <text:p text:style-name="P8">02-02-2023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100,81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D23056748 - Beantwoording Schriftelijke vragen art. 42 RvO van Woerden&amp;amp;Democratie over parkeren aan de zuidzijde van het station (vervolg)
              <text:span text:style-name="T3"/>
            </text:p>
            <text:p text:style-name="P7"/>
          </table:table-cell>
          <table:table-cell table:style-name="Table4.A2" office:value-type="string">
            <text:p text:style-name="P8">08-03-2023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294,29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56748-Beantwoording-Schriftelijke-vragen-art-42-RvO-van-Woerden-Democratie-over-parkeren-aan-de-zuidzijde-van-het-station-vervol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2" meta:character-count="713" meta:non-whitespace-character-count="6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