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6" text:style-name="Internet_20_link" text:visited-style-name="Visited_20_Internet_20_Link">
              <text:span text:style-name="ListLabel_20_28">
                <text:span text:style-name="T8">1 Onveilig parkeren langs de Leidsestraatweg (Inwonersbelangen, 6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6"/>
        Onveilig parkeren langs de Leidsestraatweg (Inwonersbelangen, 6 januari 2023)
        <text:bookmark-end text:name="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Onveilig parkeren langs de Leidsestraatweg
              <text:span text:style-name="T3"/>
            </text:p>
            <text:p text:style-name="P7"/>
          </table:table-cell>
          <table:table-cell table:style-name="Table4.A2" office:value-type="string">
            <text:p text:style-name="P8">06-01-2023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310,75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Inwonersbelangen-Onveilig-parkeren-langs-de-Leidsestraat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D23087344 - Beantwoording Schriftelijke vragen art. 42 RvO van Inwonersbelangen inzake Onveilig parkeren langs de Leidsestraatweg
              <text:span text:style-name="T3"/>
            </text:p>
            <text:p text:style-name="P7"/>
          </table:table-cell>
          <table:table-cell table:style-name="Table4.A2" office:value-type="string">
            <text:p text:style-name="P8">08-03-2023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458,46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7344-Beantwoording-Schriftelijke-vragen-art-42-RvO-van-Inwonersbelangen-inzake-Onveilig-parkeren-langs-de-Leidsestraat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642" meta:non-whitespace-character-count="5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318493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318493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