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17" text:style-name="Internet_20_link" text:visited-style-name="Visited_20_Internet_20_Link">
              <text:span text:style-name="ListLabel_20_28">
                <text:span text:style-name="T8">1 Onderzoek toekomstmogelijkheden Harmelerwaard (Inwonersbelangen, 26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17"/>
        Onderzoek toekomstmogelijkheden Harmelerwaard (Inwonersbelangen, 26 april 2022)
        <text:bookmark-end text:name="1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Onderzoek toekomstmogelijkheden Harmelerwaard
              <text:span text:style-name="T3"/>
            </text:p>
            <text:p text:style-name="P7"/>
          </table:table-cell>
          <table:table-cell table:style-name="Table4.A2" office:value-type="string">
            <text:p text:style-name="P8">26-04-2022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400,79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Inwonersbelangen-Onderzoek-toekomstmogelijkheden-Harmelerwaar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D22059901 Beantwoording vragen Inwonersbelangen | Onderzoek toekomstmogelijkheden Harmelerwaard
              <text:span text:style-name="T3"/>
            </text:p>
            <text:p text:style-name="P7"/>
          </table:table-cell>
          <table:table-cell table:style-name="Table4.A2" office:value-type="string">
            <text:p text:style-name="P8">25-05-2022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592,15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9901-Beantwoording-vragen-Inwonersbelangen-Onderzoek-toekomstmogelijkheden-Harmelerwaar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615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1750158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1750158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