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" text:style-name="Internet_20_link" text:visited-style-name="Visited_20_Internet_20_Link">
              <text:span text:style-name="ListLabel_20_28">
                <text:span text:style-name="T8">1 Nieuwe lantaarnpalen inclusief oplaadpalen (Inwonersbelangen, 3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"/>
        Nieuwe lantaarnpalen inclusief oplaadpalen (Inwonersbelangen, 3 mei 2023)
        <text:bookmark-end text:name="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- Nieuwe lantaarnpalen inclusief oplaadpalen
              <text:span text:style-name="T3"/>
            </text:p>
            <text:p text:style-name="P7"/>
          </table:table-cell>
          <table:table-cell table:style-name="Table4.A2" office:value-type="string">
            <text:p text:style-name="P8">03-05-2023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Inwonersbelangen-Nieuwe-lantaarnpalen-inclusief-oplaadpa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D23107094 Beantwoording schriftelijke vragen Inwonersbelangen Laadpalen en Lantaarnpalen
              <text:span text:style-name="T3"/>
            </text:p>
            <text:p text:style-name="P7"/>
          </table:table-cell>
          <table:table-cell table:style-name="Table4.A2" office:value-type="string">
            <text:p text:style-name="P8">08-06-2023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7094-Beantwoording-schriftelijke-vragen-Inwonersbelangen-Laadpalen-en-Lantaarnpal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93" meta:non-whitespace-character-count="5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