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" text:style-name="Internet_20_link" text:visited-style-name="Visited_20_Internet_20_Link">
              <text:span text:style-name="ListLabel_20_28">
                <text:span text:style-name="T8">1 Nieuwbouw Woonzorgcentrum Gaza in Harmelen (CDA, 25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"/>
        Nieuwbouw Woonzorgcentrum Gaza in Harmelen (CDA, 25 april 2023)
        <text:bookmark-end text:name="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Nieuwbouw Woonzorgcentrum Gaza in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CDA-art-42-vragen-Nieuwbouw-Woonzorgcentrum-Gaza-in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D23102940 Beantwoording Schriftelijke vragen art. 42 RvO van CDA Woerden inzake Nieuwbouw Woonzorgcentrum Gaza in Harmelen 
              <text:span text:style-name="T3"/>
            </text:p>
            <text:p text:style-name="P7"/>
          </table:table-cell>
          <table:table-cell table:style-name="Table4.A2" office:value-type="string">
            <text:p text:style-name="P8">05-06-2023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188,30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2940-Beantwoording-Schriftelijke-vragen-art-42-RvO-van-CDA-Woerden-inzake-Nieuwbouw-Woonzorgcentrum-Gaza-in-Harmel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594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