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94" text:style-name="Internet_20_link" text:visited-style-name="Visited_20_Internet_20_Link">
              <text:span text:style-name="ListLabel_20_28">
                <text:span text:style-name="T8">1 Juridisch procedurele stand van zaken m.b.t. de Rembrandtbrug (Diverse fracties, 8 april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94"/>
        Juridisch procedurele stand van zaken m.b.t. de Rembrandtbrug (Diverse fracties, 8 april 2024)
        <text:bookmark-end text:name="5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Woerden&amp;Democratie, Inwonersbelangen en Splinter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08-04-2024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08-05-2024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08-05-2024 14:49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diverse fracties Juridisch procedurele stand van zaken m.b.t. de Rembrandtbrug
              <text:span text:style-name="T3"/>
            </text:p>
            <text:p text:style-name="P7"/>
          </table:table-cell>
          <table:table-cell table:style-name="Table5.A2" office:value-type="string">
            <text:p text:style-name="P8">08-04-2024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60,98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Schriftelijke-vragen-Art-42-diverse-fracties-Juridisch-procedurele-stand-van-zaken-m-b-t-de-Rembrandtbru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diverse fracties Juridisch procedurele stand van zaken Rembrandtbrug D24142978
              <text:span text:style-name="T3"/>
            </text:p>
            <text:p text:style-name="P7"/>
          </table:table-cell>
          <table:table-cell table:style-name="Table5.A2" office:value-type="string">
            <text:p text:style-name="P8">08-05-2024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191,38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diverse-fracties-Juridisch-procedurele-stand-van-zaken-Rembrandtbrug-D2414297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2" meta:paragraph-count="40" meta:word-count="116" meta:character-count="835" meta:non-whitespace-character-count="7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1007465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1007465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