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19:42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85" text:style-name="Internet_20_link" text:visited-style-name="Visited_20_Internet_20_Link">
              <text:span text:style-name="ListLabel_20_28">
                <text:span text:style-name="T8">1 Inzet landelijke flitspalen op Woerdense 30 km wegen (CDA, 10 december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85"/>
        Inzet landelijke flitspalen op Woerdense 30 km wegen (CDA, 10 december 2024)
        <text:bookmark-end text:name="78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CDA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10-12-2024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15-01-2025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20-01-2025 13:38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CDA Inzet landelijke flitspalen op Woerdense 30 km wegen
              <text:span text:style-name="T3"/>
            </text:p>
            <text:p text:style-name="P7"/>
          </table:table-cell>
          <table:table-cell table:style-name="Table5.A2" office:value-type="string">
            <text:p text:style-name="P8">10-12-2024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57,68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CDA-Inzet-landelijke-flitspalen-op-Woerdense-30-km-weg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CDA Inzet landelijke flitspalen op Woerdense 30 km wegen D24166033
              <text:span text:style-name="T3"/>
            </text:p>
            <text:p text:style-name="P7"/>
          </table:table-cell>
          <table:table-cell table:style-name="Table5.A2" office:value-type="string">
            <text:p text:style-name="P8">15-01-2025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195,61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CDA-Inzet-landelijke-flitspalen-op-Woerdense-30-km-wegen-D2416603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111" meta:character-count="720" meta:non-whitespace-character-count="6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798054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798054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