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86" text:style-name="Internet_20_link" text:visited-style-name="Visited_20_Internet_20_Link">
              <text:span text:style-name="ListLabel_20_28">
                <text:span text:style-name="T8">1 Inzake interpellatiedebat Rembrandtbrug (Woerden&amp;amp;Democratie, 14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6"/>
        Inzake interpellatiedebat Rembrandtbrug (Woerden&amp;amp;Democratie, 14 september 2023)
        <text:bookmark-end text:name="3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10-10-2023 08:50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Aanvraag interpellatiedebat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14-09-2023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159,38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Interpellatiedebat-Rembrandtbrug/Aanvraag-interpellatiedebat-Rembrandt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D23120123 Beantwoording schriftelijke vragen Art 42 Woerden&amp;amp;Democratie inzake interpellatiedebat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10-10-2023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220,26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20123-Beantwoording-schriftelijke-vragen-Art-42-Woerden-Democratie-inzake-interpellatiedebat-Rembrandtbru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598" meta:non-whitespace-character-count="5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