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2" w:history="1">
        <w:r>
          <w:rPr>
            <w:rFonts w:ascii="Arial" w:hAnsi="Arial" w:eastAsia="Arial" w:cs="Arial"/>
            <w:color w:val="155CAA"/>
            <w:u w:val="single"/>
          </w:rPr>
          <w:t xml:space="preserve">1 Hulp aan wijk- en dorpscentra en lokale omroep door oplopende kosten van de energierekening (Inwonersbelangen, 16 september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2"/>
      <w:r w:rsidRPr="00A448AC">
        <w:rPr>
          <w:rFonts w:ascii="Arial" w:hAnsi="Arial" w:cs="Arial"/>
          <w:b/>
          <w:bCs/>
          <w:color w:val="303F4C"/>
          <w:lang w:val="en-US"/>
        </w:rPr>
        <w:t>Hulp aan wijk- en dorpscentra en lokale omroep door oplopende kosten van de energierekening (Inwonersbelangen, 16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Hulp aan wijk- en dorpscentra en lokale omroep door oplopende kosten van de energierekening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D22076122 Beantwoording vragen Inwonersbelangen | Hulp aan wijk- en dorpscentra en lokale omroep door oplopende kosten van de energierekening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260,10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Inwonersbelangen-Hulp-aan-wijk-en-dorpscentra-en-lokale-omroep-door-oplopende-kosten-van-de-energierekening.pdf" TargetMode="External" /><Relationship Id="rId25" Type="http://schemas.openxmlformats.org/officeDocument/2006/relationships/hyperlink" Target="http://gemeenteraad.woerden.nl//stukken/Schriftelijke-vraag/D22076122-Beantwoording-vragen-Inwonersbelangen-Hulp-aan-wijk-en-dorpscentra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