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4" text:style-name="Internet_20_link" text:visited-style-name="Visited_20_Internet_20_Link">
              <text:span text:style-name="ListLabel_20_28">
                <text:span text:style-name="T8">1 Het carillon van Woerden (CDA en Progressief Woerden, 5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4"/>
        Het carillon van Woerden (CDA en Progressief Woerden, 5 december 2022)
        <text:bookmark-end text:name="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en CDA | Het carillon van Woerden
              <text:span text:style-name="T3"/>
            </text:p>
            <text:p text:style-name="P7"/>
          </table:table-cell>
          <table:table-cell table:style-name="Table4.A2" office:value-type="string">
            <text:p text:style-name="P8">05-12-2022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117,77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en-CDA-Het-carillon-va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D22083194 Beantwoording vragen CDA Woerden en Progressief Woerden inzake het carillon van Woerden (met erratum)
              <text:span text:style-name="T3"/>
            </text:p>
            <text:p text:style-name="P7"/>
          </table:table-cell>
          <table:table-cell table:style-name="Table4.A2" office:value-type="string">
            <text:p text:style-name="P8">16-02-2023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234,44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83194-Beantwoording-vragen-CDA-Woerden-en-Progressief-Woerden-inzake-het-carillon-van-Woerden-met-erratu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3" meta:character-count="602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