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33" text:style-name="Internet_20_link" text:visited-style-name="Visited_20_Internet_20_Link">
              <text:span text:style-name="ListLabel_20_28">
                <text:span text:style-name="T8">1 Herberekening van de gemeentefondsuitkering (Woerden&amp;amp;Democratie, 8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33"/>
        Herberekening van de gemeentefondsuitkering (Woerden&amp;amp;Democratie, 8 februari 2024)
        <text:bookmark-end text:name="53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15-03-2024 11:33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Woerden&amp;amp;Democratie Herberekening van de gemeentefondsuitkering
              <text:span text:style-name="T3"/>
            </text:p>
            <text:p text:style-name="P7"/>
          </table:table-cell>
          <table:table-cell table:style-name="Table4.A2" office:value-type="string">
            <text:p text:style-name="P8">08-02-2024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119,11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Woerden-Democratie-Herberekening-van-de-gemeentefondsuitkerin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Woerden&amp;amp;Democratie Herberekening van de gemeentefondsuitkering D24138402
              <text:span text:style-name="T3"/>
            </text:p>
            <text:p text:style-name="P7"/>
          </table:table-cell>
          <table:table-cell table:style-name="Table4.A2" office:value-type="string">
            <text:p text:style-name="P8">15-03-2024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184,74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Woerden-Democratie-Herberekening-van-de-gemeentefondsuitkering-D2413840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1" meta:character-count="661" meta:non-whitespace-character-count="6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1045598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1045598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