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01" text:style-name="Internet_20_link" text:visited-style-name="Visited_20_Internet_20_Link">
              <text:span text:style-name="ListLabel_20_28">
                <text:span text:style-name="T8">1 Handhaving motorverbod de Meije (Inwonersbelangen, 9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01"/>
        Handhaving motorverbod de Meije (Inwonersbelangen, 9 april 2025)
        <text:bookmark-end text:name="9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09-04-2025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08-05-2025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13-05-2025 15:26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Handhaving motorverbod de Meije
              <text:span text:style-name="T3"/>
            </text:p>
            <text:p text:style-name="P7"/>
          </table:table-cell>
          <table:table-cell table:style-name="Table5.A2" office:value-type="string">
            <text:p text:style-name="P8">09-04-2025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112,22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Handhaving-motorverbod-de-Meij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SV Art. 42 Inwonersbelangen Handhaving motorverbod de Meije D25181393
              <text:span text:style-name="T3"/>
            </text:p>
            <text:p text:style-name="P7"/>
          </table:table-cell>
          <table:table-cell table:style-name="Table5.A2" office:value-type="string">
            <text:p text:style-name="P8">08-05-2025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186,07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V-Art-42-Inwonersbelangen-Handhaving-motorverbod-de-Meije-D2518139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38" meta:word-count="90" meta:character-count="642" meta:non-whitespace-character-count="5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1912084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1912084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