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6" w:history="1">
        <w:r>
          <w:rPr>
            <w:rFonts w:ascii="Arial" w:hAnsi="Arial" w:eastAsia="Arial" w:cs="Arial"/>
            <w:color w:val="155CAA"/>
            <w:u w:val="single"/>
          </w:rPr>
          <w:t xml:space="preserve">1 Gevolgen kabinetsplannen versoepeling vervoer gevaarlijke stoffen spoor (CDA, 16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6"/>
      <w:r w:rsidRPr="00A448AC">
        <w:rPr>
          <w:rFonts w:ascii="Arial" w:hAnsi="Arial" w:cs="Arial"/>
          <w:b/>
          <w:bCs/>
          <w:color w:val="303F4C"/>
          <w:lang w:val="en-US"/>
        </w:rPr>
        <w:t>Gevolgen kabinetsplannen versoepeling vervoer gevaarlijke stoffen spoor (CDA, 16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Rumo van Aalst, 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 15:34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vragen CDA Gevolgen kabinetsplannen versoepeling vervoer gevaarlijke stoffen spoor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 42 CDA Gevolgen kabinetsplannen versoepeling vervoer gevaarlijke stoffen spoor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vragen-CDA-Gevolgen-kabinetsplannen-versoepeling-vervoer-gevaarlijke-stoffen-spoor.pdf" TargetMode="External" /><Relationship Id="rId25" Type="http://schemas.openxmlformats.org/officeDocument/2006/relationships/hyperlink" Target="http://gemeenteraad.woerden.nl//Stukken/Beantwoording-SV-Art-42-CDA-Gevolgen-kabinetsplannen-versoepeling-vervoer-gevaarlijke-stoffen-spoo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