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9" w:history="1">
        <w:r>
          <w:rPr>
            <w:rFonts w:ascii="Arial" w:hAnsi="Arial" w:eastAsia="Arial" w:cs="Arial"/>
            <w:color w:val="155CAA"/>
            <w:u w:val="single"/>
          </w:rPr>
          <w:t xml:space="preserve">1 Gemeentelijke zorgplicht voor veteranen (CDA, 19 juli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9"/>
      <w:r w:rsidRPr="00A448AC">
        <w:rPr>
          <w:rFonts w:ascii="Arial" w:hAnsi="Arial" w:cs="Arial"/>
          <w:b/>
          <w:bCs/>
          <w:color w:val="303F4C"/>
          <w:lang w:val="en-US"/>
        </w:rPr>
        <w:t>Gemeentelijke zorgplicht voor veteranen (CDA, 19 juli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19-09-2023 14:58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Gemeentelijke zorgplicht voor veteranen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19-07-2023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D23118384 Beantwoording art. 42 vragen CDA Gemeentelijke zorgplicht voor veteranen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CDA-Gemeentelijke-zorgplicht-voor-veteranen.pdf" TargetMode="External" /><Relationship Id="rId25" Type="http://schemas.openxmlformats.org/officeDocument/2006/relationships/hyperlink" Target="http://gemeenteraad.woerden.nl//stukken/D23118384-Beantwoording-art-42-vragen-CDA-Gemeentelijke-zorgplicht-voor-veteran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