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9" w:history="1">
        <w:r>
          <w:rPr>
            <w:rFonts w:ascii="Arial" w:hAnsi="Arial" w:eastAsia="Arial" w:cs="Arial"/>
            <w:color w:val="155CAA"/>
            <w:u w:val="single"/>
          </w:rPr>
          <w:t xml:space="preserve">1 Gaat de helft van de Woerdense kantoren op slot (VVD, 1 september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9"/>
      <w:r w:rsidRPr="00A448AC">
        <w:rPr>
          <w:rFonts w:ascii="Arial" w:hAnsi="Arial" w:cs="Arial"/>
          <w:b/>
          <w:bCs/>
          <w:color w:val="303F4C"/>
          <w:lang w:val="en-US"/>
        </w:rPr>
        <w:t>Gaat de helft van de Woerdense kantoren op slot (VVD, 1 september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VVD | Gaat de helft van de Woerdense kantoren op slot?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D22073906 Beantwoording vragen VVD | Gaat de helft van de Woerdense kantoren op slot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297,64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VVD-Gaat-de-helft-van-de-Woerdense-kantoren-op-slot.pdf" TargetMode="External" /><Relationship Id="rId25" Type="http://schemas.openxmlformats.org/officeDocument/2006/relationships/hyperlink" Target="http://gemeenteraad.woerden.nl//stukken/Schriftelijke-vraag/D22073906-Beantwoording-vragen-VVD-Gaat-de-helft-van-de-Woerdense-kantoren-op-slo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