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06:21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" text:style-name="Internet_20_link" text:visited-style-name="Visited_20_Internet_20_Link">
              <text:span text:style-name="ListLabel_20_28">
                <text:span text:style-name="T8">1 Gaat de helft van de Woerdense kantoren op slot (VVD, 1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"/>
        Gaat de helft van de Woerdense kantoren op slot (VVD, 1 september 2022)
        <text:bookmark-end text:name="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VVD | Gaat de helft van de Woerdense kantoren op slot?
              <text:span text:style-name="T3"/>
            </text:p>
            <text:p text:style-name="P7"/>
          </table:table-cell>
          <table:table-cell table:style-name="Table4.A2" office:value-type="string">
            <text:p text:style-name="P8">01-09-2022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104,04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VVD-Gaat-de-helft-van-de-Woerdense-kantoren-op-slo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D22073906 Beantwoording vragen VVD | Gaat de helft van de Woerdense kantoren op slot
              <text:span text:style-name="T3"/>
            </text:p>
            <text:p text:style-name="P7"/>
          </table:table-cell>
          <table:table-cell table:style-name="Table4.A2" office:value-type="string">
            <text:p text:style-name="P8">28-09-2022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297,64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3906-Beantwoording-vragen-VVD-Gaat-de-helft-van-de-Woerdense-kantoren-op-slo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8" meta:character-count="578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2071725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2071725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