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01:58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91" text:style-name="Internet_20_link" text:visited-style-name="Visited_20_Internet_20_Link">
              <text:span text:style-name="ListLabel_20_28">
                <text:span text:style-name="T8">1 Effecten natuurontwikkeling Schraallanden langs de Meije (CDA, 15 augustus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91"/>
        Effecten natuurontwikkeling Schraallanden langs de Meije (CDA, 15 augustus 2022)
        <text:bookmark-end text:name="9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15:40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CDA | Effecten natuurontwikkeling Schraallanden langs de Meije
              <text:span text:style-name="T3"/>
            </text:p>
            <text:p text:style-name="P7"/>
          </table:table-cell>
          <table:table-cell table:style-name="Table4.A2" office:value-type="string">
            <text:p text:style-name="P8">15-08-2022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108,53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/Schriftelijke-vragen-CDA-Effecten-natuurontwikkeling-Schraallanden-langs-de-Meije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D22071520 Beantwoording vragen CDA - Effecten natuurontwikkeling Schraallanden langs de Meije
              <text:span text:style-name="T3"/>
            </text:p>
            <text:p text:style-name="P7"/>
          </table:table-cell>
          <table:table-cell table:style-name="Table4.A2" office:value-type="string">
            <text:p text:style-name="P8">15-09-2022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328,21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71520-Beantwoording-vragen-CDA-Effecten-natuurontwikkeling-Schraallanden-langs-de-Meije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6" meta:character-count="613" meta:non-whitespace-character-count="56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547833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547833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