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4" w:history="1">
        <w:r>
          <w:rPr>
            <w:rFonts w:ascii="Arial" w:hAnsi="Arial" w:eastAsia="Arial" w:cs="Arial"/>
            <w:color w:val="155CAA"/>
            <w:u w:val="single"/>
          </w:rPr>
          <w:t xml:space="preserve">1 Ecologisch onderzoek naar vleermuizen verplicht bij na isolatie (CDA, 12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4"/>
      <w:r w:rsidRPr="00A448AC">
        <w:rPr>
          <w:rFonts w:ascii="Arial" w:hAnsi="Arial" w:cs="Arial"/>
          <w:b/>
          <w:bCs/>
          <w:color w:val="303F4C"/>
          <w:lang w:val="en-US"/>
        </w:rPr>
        <w:t>Ecologisch onderzoek naar vleermuizen verplicht bij na isolatie (CDA, 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Ecologisch onderzoek naar vleermuizen verplicht bij na isolatie CDA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D23118936 Beantwoording schriftelijke vragen CDA Ecologisch onderzoek naar vleermuizen verplicht bij na isolatie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vragen-ecolgisch-onderzoek-naar-vleermuizen-verplicht-bij-na-isolatie-CDA.pdf" TargetMode="External" /><Relationship Id="rId25" Type="http://schemas.openxmlformats.org/officeDocument/2006/relationships/hyperlink" Target="http://gemeenteraad.woerden.nl//Stukken/Schriftelijke-vraag/D23118936-Beantwoording-schriftelijke-vragen-CDA-Ecologisch-onderzoek-naar-vleermuizen-verplicht-bij-na-isola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