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64" text:style-name="Internet_20_link" text:visited-style-name="Visited_20_Internet_20_Link">
              <text:span text:style-name="ListLabel_20_28">
                <text:span text:style-name="T8">1 Ecologisch onderzoek naar vleermuizen verplicht bij na isolatie (CDA, 12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64"/>
        Ecologisch onderzoek naar vleermuizen verplicht bij na isolatie (CDA, 12 september 2023)
        <text:bookmark-end text:name="3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26-09-2023 16:44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Ecologisch onderzoek naar vleermuizen verplicht bij na isolatie CDA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149,00 KB</text:p>
          </table:table-cell>
          <table:table-cell table:style-name="Table4.A2" office:value-type="string">
            <text:p text:style-name="P33">
              <text:a xlink:type="simple" xlink:href="http://gemeenteraad.woerden.nl//stukken/Artikel-42-vragen-ecolgisch-onderzoek-naar-vleermuizen-verplicht-bij-na-isolatie-CD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D23118936 Beantwoording schriftelijke vragen CDA Ecologisch onderzoek naar vleermuizen verplicht bij na isolatie
              <text:span text:style-name="T3"/>
            </text:p>
            <text:p text:style-name="P7"/>
          </table:table-cell>
          <table:table-cell table:style-name="Table4.A2" office:value-type="string">
            <text:p text:style-name="P8">26-09-2023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201,58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18936-Beantwoording-schriftelijke-vragen-CDA-Ecologisch-onderzoek-naar-vleermuizen-verplicht-bij-na-isol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4" meta:character-count="650" meta:non-whitespace-character-count="5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