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54" text:style-name="Internet_20_link" text:visited-style-name="Visited_20_Internet_20_Link">
              <text:span text:style-name="ListLabel_20_28">
                <text:span text:style-name="T8">1 Ecologie en Biodiversiteit in Woerden (Progressief Woerden, 21 februari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54"/>
        Ecologie en Biodiversiteit in Woerden (Progressief Woerden, 21 februari 2025)
        <text:bookmark-end text:name="85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Progressief Woerden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21-02-2025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31-03-2025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31-03-2025 16:13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Progressief Woerden Ecologie en Biodiversiteit in Woerden
              <text:span text:style-name="T3"/>
            </text:p>
            <text:p text:style-name="P7"/>
          </table:table-cell>
          <table:table-cell table:style-name="Table5.A2" office:value-type="string">
            <text:p text:style-name="P8">21-02-2025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114,19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Progressief-Woerden-Ecologie-en-Biodiversiteit-i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 42 Progressief Woerden Ecologie en Biodiversiteit in Woerden
              <text:span text:style-name="T3"/>
            </text:p>
            <text:p text:style-name="P7"/>
          </table:table-cell>
          <table:table-cell table:style-name="Table5.A2" office:value-type="string">
            <text:p text:style-name="P8">31-03-2025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205,00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Progressief-Woerden-Ecologie-en-Biodiversiteit-in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03" meta:character-count="730" meta:non-whitespace-character-count="6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225102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225102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