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" text:style-name="Internet_20_link" text:visited-style-name="Visited_20_Internet_20_Link">
              <text:span text:style-name="ListLabel_20_28">
                <text:span text:style-name="T8">1 Doelgroepenvervoer (Inwonersbelangen, 30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"/>
        Doelgroepenvervoer (Inwonersbelangen, 30 september 2022)
        <text:bookmark-end text:name="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Doelgroepenvervoer
              <text:span text:style-name="T3"/>
            </text:p>
            <text:p text:style-name="P7"/>
          </table:table-cell>
          <table:table-cell table:style-name="Table4.A2" office:value-type="string">
            <text:p text:style-name="P8">30-09-2022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Doelgroep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D22076125 Beantwoording vragen Inwonersbelangen - Doelgroepenvervoer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318,01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6125-Beantwoording-vragen-Inwonersbelangen-Doelgroepenvervo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515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