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13:58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00" text:style-name="Internet_20_link" text:visited-style-name="Visited_20_Internet_20_Link">
              <text:span text:style-name="ListLabel_20_28">
                <text:span text:style-name="T8">1 Circulaire ondernemer gedwarsboomd (Inwonersbelangen, 9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00"/>
        Circulaire ondernemer gedwarsboomd (Inwonersbelangen, 9 april 2025)
        <text:bookmark-end text:name="90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09-04-2025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09-05-2025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13-05-2025 12:56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Circulaire ondernemer gedwarsboomd
              <text:span text:style-name="T3"/>
            </text:p>
            <text:p text:style-name="P7"/>
          </table:table-cell>
          <table:table-cell table:style-name="Table5.A2" office:value-type="string">
            <text:p text:style-name="P8">09-04-2025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128,62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Circulaire-ondernemer-gedwarsboom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SV Art. 42 Inwonersbelangen Circulaire ondernemer gedwarsboomd D25179928
              <text:span text:style-name="T3"/>
            </text:p>
            <text:p text:style-name="P7"/>
          </table:table-cell>
          <table:table-cell table:style-name="Table5.A2" office:value-type="string">
            <text:p text:style-name="P8">09-05-2025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214,62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V-Art-42-Inwonersbelangen-Circulaire-ondernemer-gedwarsboomd-D2517992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38" meta:word-count="86" meta:character-count="654" meta:non-whitespace-character-count="6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1722631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1722631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