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3" text:style-name="Internet_20_link" text:visited-style-name="Visited_20_Internet_20_Link">
              <text:span text:style-name="ListLabel_20_28">
                <text:span text:style-name="T8">1 Cijfers Veiligheidsmonitor 2021 in het Schilderskwartier (CDA, 7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3"/>
        Cijfers Veiligheidsmonitor 2021 in het Schilderskwartier (CDA, 7 februari 2022)
        <text:bookmark-end text:name="1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Cijfers Veiligheidsmonitor 2021 in het Schilderskwartier
              <text:span text:style-name="T3"/>
            </text:p>
            <text:p text:style-name="P7"/>
          </table:table-cell>
          <table:table-cell table:style-name="Table4.A2" office:value-type="string">
            <text:p text:style-name="P8">07-02-2022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cijfers-Veiligheidsmonitor-2021-in-het-Schilderskwarti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D22051987 Beantwoording vragen CDA | Cijfers Veiligheidsmonitor 2021 in het Schilderskwartier
              <text:span text:style-name="T3"/>
            </text:p>
            <text:p text:style-name="P7"/>
          </table:table-cell>
          <table:table-cell table:style-name="Table4.A2" office:value-type="string">
            <text:p text:style-name="P8">09-03-2022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377,68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1987-Beantwoording-vragen-CDA-Cijfers-Veiligheidsmonitor-2021-in-het-Schilderskwarti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11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