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5" text:style-name="Internet_20_link" text:visited-style-name="Visited_20_Internet_20_Link">
              <text:span text:style-name="ListLabel_20_28">
                <text:span text:style-name="T8">1 Temporiseren voorbereidende werkzaamheden windmolens (Inwonersbelangen, 13 oktober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5"/>
        Temporiseren voorbereidende werkzaamheden windmolens (Inwonersbelangen, 13 oktober 2021)
        <text:bookmark-end text:name="8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Temporiseren windmolens
              <text:span text:style-name="T3"/>
            </text:p>
            <text:p text:style-name="P7"/>
          </table:table-cell>
          <table:table-cell table:style-name="Table4.A2" office:value-type="string">
            <text:p text:style-name="P8">13-10-2021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101,73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Temporiseren-windmole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D21039155 Beantwoording vragen Inwonersbelangen | Temporiseren voorbereidende werkzaamheden windmolens
              <text:span text:style-name="T3"/>
            </text:p>
            <text:p text:style-name="P7"/>
          </table:table-cell>
          <table:table-cell table:style-name="Table4.A2" office:value-type="string">
            <text:p text:style-name="P8">10-11-2021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370,20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1039155-Beantwoording-vragen-Inwonersbelangen-Temporiseren-voorbereidende-werkzaamheden-windmolen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618" meta:non-whitespace-character-count="5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