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8" text:style-name="Internet_20_link" text:visited-style-name="Visited_20_Internet_20_Link">
              <text:span text:style-name="ListLabel_20_28">
                <text:span text:style-name="T8">1 Zienswijze kadernota 2024 Veiligheidsregio Utrecht (8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8"/>
        Zienswijze kadernota 2024 Veiligheidsregio Utrecht (8 december 2022)
        <text:bookmark-end text:name="2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D22080899 Raadsvoorstel | Zienswijze kadernota 2024 Veiligheidsregio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08-12-2022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0899-Raadsvoorstel-Zienswijze-kadernota-2024-Veiligheidsregio-Utre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D22080895 Raadsbesluit - Zienswijze kadernota 2024 Veiligheidsregio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0895-Raadsbesluit-Zienswijze-kadernota-2024-Veiligheidsregio-Utre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58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