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65" text:style-name="Internet_20_link" text:visited-style-name="Visited_20_Internet_20_Link">
              <text:span text:style-name="ListLabel_20_28">
                <text:span text:style-name="T8">1 Zienswijze aanpassing gemeenschappelijke regeling ODRU, Woerden (19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5"/>
        Zienswijze aanpassing gemeenschappelijke regeling ODRU, Woerden (19 april 2023)
        <text:bookmark-end text:name="2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D23095754 RV - Zienswijze aanpassing gemeenschappelijke regeling ODRU, Woerden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189,81 KB</text:p>
          </table:table-cell>
          <table:table-cell table:style-name="Table4.A2" office:value-type="string">
            <text:p text:style-name="P33">
              <text:a xlink:type="simple" xlink:href="http://gemeenteraad.woerden.nl//stukken/D23095754-RV-Zienswijze-aanpassing-gemeenschappelijke-regeling-ODRU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D23095754 Raadsvoorstel - Zienswijze aanpassing gemeenschappelijke regeling ODRU, Woerden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4.A2" office:value-type="string">
            <text:p text:style-name="P33">
              <text:a xlink:type="simple" xlink:href="http://gemeenteraad.woerden.nl//stukken/D23095754-Raadsvoorstel-Zienswijze-aanpassing-gemeenschappelijke-regeling-ODRU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96" meta:non-whitespace-character-count="5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954482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954482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