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80" text:style-name="Internet_20_link" text:visited-style-name="Visited_20_Internet_20_Link">
              <text:span text:style-name="ListLabel_20_28">
                <text:span text:style-name="T8">1 Zienswijze Gemeenschappelijke Regeling Wijziging GR-VRU (16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80"/>
        Zienswijze Gemeenschappelijke Regeling Wijziging GR-VRU (16 maart 2023)
        <text:bookmark-end text:name="2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D23091324 - Raadsvoorstel Zienswijze Gemeenschappelijke Regeling Wijziging GR-VRU.
              <text:span text:style-name="T3"/>
            </text:p>
            <text:p text:style-name="P7"/>
          </table:table-cell>
          <table:table-cell table:style-name="Table4.A2" office:value-type="string">
            <text:p text:style-name="P8">16-03-2023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8,18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1324-Raadsvoorstel-Zienswijze-Gemeenschappelijke-Regeling-Wijziging-GR-VR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D23091394 Raadsbesluit - Wijziging GR-VRU signed
              <text:span text:style-name="T3"/>
            </text:p>
            <text:p text:style-name="P7"/>
          </table:table-cell>
          <table:table-cell table:style-name="Table4.A2" office:value-type="string">
            <text:p text:style-name="P8">25-04-2023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89,35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0-april/20:00/Hamerstukken/D23091394-Raadsbesluit-Wijziging-GR-VRU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4" meta:character-count="542" meta:non-whitespace-character-count="5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2022388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2022388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