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9" text:style-name="Internet_20_link" text:visited-style-name="Visited_20_Internet_20_Link">
              <text:span text:style-name="ListLabel_20_28">
                <text:span text:style-name="T8">1 Zienswijze GGDrU (2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9"/>
        Zienswijze GGDrU (2 juni 2023)
        <text:bookmark-end text:name="2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D23104916 RV - Zienswijze ontwerpbegroting GGDrU 2024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250,41 KB</text:p>
          </table:table-cell>
          <table:table-cell table:style-name="Table4.A2" office:value-type="string">
            <text:p text:style-name="P33">
              <text:a xlink:type="simple" xlink:href="http://gemeenteraad.woerden.nl//stukken/D23104916-RV-Zienswijze-ontwerpbegroting-GGDrU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D23107056 Raadsbesluit - Zienswijze GGDrU signed (vastgesteld)
              <text:span text:style-name="T3"/>
            </text:p>
            <text:p text:style-name="P7"/>
          </table:table-cell>
          <table:table-cell table:style-name="Table4.A2" office:value-type="string">
            <text:p text:style-name="P8">12-07-2023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112,67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Zienswijze-GGDrU/D23107056-Raadsbesluit-Zienswijze-GGDrU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448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412511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412511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