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0" text:style-name="Internet_20_link" text:visited-style-name="Visited_20_Internet_20_Link">
              <text:span text:style-name="ListLabel_20_28">
                <text:span text:style-name="T8">1 Zienswijze Begrotingswijziging GGDrU 2022-1 (13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0"/>
        Zienswijze Begrotingswijziging GGDrU 2022-1 (13 oktober 2022)
        <text:bookmark-end text:name="2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D22075344 Raadsvoorstel | Zienswijze Begrotingswijziging GGDrU 2022-1
              <text:span text:style-name="T3"/>
            </text:p>
            <text:p text:style-name="P7"/>
          </table:table-cell>
          <table:table-cell table:style-name="Table4.A2" office:value-type="string">
            <text:p text:style-name="P8">13-10-2022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2,21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5344-Raadsvoorstel-Zienswijze-Begrotingswijziging-GGDrU-2022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D22075344 Raadsvoorstel - Zienswijze Begrotingswijziging GGDrU 2022-1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2,21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-3/D22075344-Raadsvoorstel-Zienswijze-Begrotingswijziging-GGDrU-2022-1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D22075866 Raadsbesluit - Zienswijze Begrotingswijziging GGDrU 2022-1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108,67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5866-RB-Zienswijze-Begrotingswijziging-GGDrU-202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628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1165799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1165799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