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70" text:style-name="Internet_20_link" text:visited-style-name="Visited_20_Internet_20_Link">
              <text:span text:style-name="ListLabel_20_28">
                <text:span text:style-name="T8">1 Wijze van afdoening ingekomen stukken raad 28 februari tot en met 13 maart 2025 (14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70"/>
        Wijze van afdoening ingekomen stukken raad 28 februari tot en met 13 maart 2025 (14 maart 2025)
        <text:bookmark-end text:name="8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14-03-2025 15:02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raad 28 februari tot en met 13 maart 2025 D25176158
              <text:span text:style-name="T3"/>
            </text:p>
            <text:p text:style-name="P7"/>
          </table:table-cell>
          <table:table-cell table:style-name="Table4.A2" office:value-type="string">
            <text:p text:style-name="P8">14-03-2025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101,02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raad-28-februari-tot-en-met-13-maart-2025-D2517615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28 februari tm 16 maart 2025 
              <text:s/>
              D25176160 -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192,97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28-februari-tm-16-maart-2025-D2517616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28 februari tot en met 13 maart 2025 D25176159
              <text:span text:style-name="T3"/>
            </text:p>
            <text:p text:style-name="P7"/>
          </table:table-cell>
          <table:table-cell table:style-name="Table4.A2" office:value-type="string">
            <text:p text:style-name="P8">14-03-2025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136,91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28-februari-tot-en-met-13-maart-2025-D2517615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30" meta:character-count="791" meta:non-whitespace-character-count="6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