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87" text:style-name="Internet_20_link" text:visited-style-name="Visited_20_Internet_20_Link">
              <text:span text:style-name="ListLabel_20_28">
                <text:span text:style-name="T8">1 Wijze van afdoening ingekomen stukken 20 januari tm 15 februari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7"/>
        Wijze van afdoening ingekomen stukken 20 januari tm 15 februari
        <text:bookmark-end text:name="2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01-08-2023 17:14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D23090639 Raadsbesluit - Wijze van afdoening ingekomen stukken 20 januari tm 15 februari 2023
              <text:span text:style-name="T3"/>
            </text:p>
            <text:p text:style-name="P7"/>
          </table:table-cell>
          <table:table-cell table:style-name="Table4.A2" office:value-type="string">
            <text:p text:style-name="P8">16-02-2023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45,05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Vaststellen-wijze-van-afdoening-ingekomen-stukken/D23090639-Raadsbesluit-Wijze-van-afdoening-ingekomen-stukken-20-januari-tm-15-februari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D23090641 Raadsvoorstel - Lijst ingekomen stukken 20 januari tm 15 februari 2023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06-03-2023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247,80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Vaststellen-wijze-van-afdoening-ingekomen-stukken/D23090641-Raadsvoorstel-Lijst-ingekomen-stukken-20-januari-tm-15-februari-2023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1" meta:character-count="583" meta:non-whitespace-character-count="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