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6" text:style-name="Internet_20_link" text:visited-style-name="Visited_20_Internet_20_Link">
              <text:span text:style-name="ListLabel_20_28">
                <text:span text:style-name="T8">1 Wijze van afdoening ingekomen stukken 18 februari t/m 21 maart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6"/>
        Wijze van afdoening ingekomen stukken 18 februari t/m 21 maart 2022
        <text:bookmark-end text:name="1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31-07-2023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D22056073 Raadsvoorstel wijze van afdoening ingekomen stukken 18 februari tm 21 maart 2022 (merged)
              <text:span text:style-name="T3"/>
            </text:p>
            <text:p text:style-name="P7"/>
          </table:table-cell>
          <table:table-cell table:style-name="Table4.A2" office:value-type="string">
            <text:p text:style-name="P8">29-03-2022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297,27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7:30/D22056073-Raadsvoorstel-wijze-van-afdoening-ingekomen-stukken-18-februari-tm-21-maart-2022-merg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75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