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93" w:history="1">
        <w:r>
          <w:rPr>
            <w:rFonts w:ascii="Arial" w:hAnsi="Arial" w:eastAsia="Arial" w:cs="Arial"/>
            <w:color w:val="155CAA"/>
            <w:u w:val="single"/>
          </w:rPr>
          <w:t xml:space="preserve">1 Verordening riool- en waterzorgheffing 2023 (19 december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93"/>
      <w:r w:rsidRPr="00A448AC">
        <w:rPr>
          <w:rFonts w:ascii="Arial" w:hAnsi="Arial" w:cs="Arial"/>
          <w:b/>
          <w:bCs/>
          <w:color w:val="303F4C"/>
          <w:lang w:val="en-US"/>
        </w:rPr>
        <w:t>Verordening riool- en waterzorgheffing 2023 (19 december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D22076970 Raadsbesluit - Verordening riool- en waterzorgheffing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134,49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2/21-december/20:00/Hamerstukken/D22076970-RB-Verordening-riool-en-waterzorgheffing-20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