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5" w:history="1">
        <w:r>
          <w:rPr>
            <w:rFonts w:ascii="Arial" w:hAnsi="Arial" w:eastAsia="Arial" w:cs="Arial"/>
            <w:color w:val="155CAA"/>
            <w:u w:val="single"/>
          </w:rPr>
          <w:t xml:space="preserve">1 Verordening hondenbelasting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5"/>
      <w:r w:rsidRPr="00A448AC">
        <w:rPr>
          <w:rFonts w:ascii="Arial" w:hAnsi="Arial" w:cs="Arial"/>
          <w:b/>
          <w:bCs/>
          <w:color w:val="303F4C"/>
          <w:lang w:val="en-US"/>
        </w:rPr>
        <w:t>Verordening hondenbelasting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D22076949 Raadsbesluit - Verordening hondenbelasting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6949-RB-Verordening-hondenbelasting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